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tabs>
          <w:tab w:val="clear" w:pos="708"/>
          <w:tab w:val="left" w:pos="7513" w:leader="none"/>
        </w:tabs>
        <w:spacing w:before="0" w:after="0"/>
        <w:jc w:val="center"/>
        <w:rPr>
          <w:rFonts w:ascii="Arial" w:hAnsi="Arial" w:cs="Times New Roman"/>
          <w:b/>
          <w:b/>
          <w:sz w:val="32"/>
          <w:szCs w:val="32"/>
        </w:rPr>
      </w:pPr>
      <w:r>
        <w:rPr>
          <w:rFonts w:cs="Times New Roman" w:ascii="Arial" w:hAnsi="Arial"/>
          <w:b/>
          <w:sz w:val="32"/>
          <w:szCs w:val="32"/>
        </w:rPr>
        <w:t>LLAMADOS A CONCURSO PARA PROVISIÓN DE CARGOS</w:t>
      </w:r>
    </w:p>
    <w:p>
      <w:pPr>
        <w:pStyle w:val="Standard"/>
        <w:spacing w:before="0" w:after="0"/>
        <w:jc w:val="center"/>
        <w:rPr>
          <w:rFonts w:ascii="Arial" w:hAnsi="Arial" w:cs="Times New Roman"/>
          <w:bCs/>
          <w:sz w:val="20"/>
          <w:szCs w:val="20"/>
        </w:rPr>
      </w:pPr>
      <w:r>
        <w:rPr>
          <w:rFonts w:cs="Times New Roman" w:ascii="Arial" w:hAnsi="Arial"/>
          <w:bCs/>
          <w:sz w:val="20"/>
          <w:szCs w:val="20"/>
        </w:rPr>
      </w:r>
    </w:p>
    <w:tbl>
      <w:tblPr>
        <w:tblStyle w:val="Tablaconcuadrcula"/>
        <w:tblW w:w="932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45"/>
        <w:gridCol w:w="6078"/>
      </w:tblGrid>
      <w:tr>
        <w:trPr/>
        <w:tc>
          <w:tcPr>
            <w:tcW w:w="3245" w:type="dxa"/>
            <w:tcBorders>
              <w:top w:val="single" w:sz="12" w:space="0" w:color="000000"/>
              <w:left w:val="single" w:sz="1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Arial" w:hAnsi="Arial"/>
                <w:b/>
                <w:bCs/>
                <w:sz w:val="36"/>
                <w:szCs w:val="36"/>
              </w:rPr>
              <w:t>Formulario 2</w:t>
            </w:r>
          </w:p>
        </w:tc>
        <w:tc>
          <w:tcPr>
            <w:tcW w:w="6078" w:type="dxa"/>
            <w:tcBorders>
              <w:top w:val="single" w:sz="12" w:space="0" w:color="000000"/>
              <w:right w:val="single" w:sz="12" w:space="0" w:color="000000"/>
              <w:insideV w:val="single" w:sz="1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Arial" w:hAnsi="Arial"/>
                <w:b/>
                <w:sz w:val="28"/>
                <w:szCs w:val="28"/>
              </w:rPr>
              <w:t>BASES PARTICULARES</w:t>
            </w:r>
          </w:p>
        </w:tc>
      </w:tr>
      <w:tr>
        <w:trPr/>
        <w:tc>
          <w:tcPr>
            <w:tcW w:w="3245" w:type="dxa"/>
            <w:tcBorders>
              <w:left w:val="single" w:sz="1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Arial" w:hAnsi="Arial"/>
                <w:b/>
                <w:sz w:val="28"/>
                <w:szCs w:val="28"/>
              </w:rPr>
              <w:t xml:space="preserve">Cargo </w:t>
            </w:r>
          </w:p>
        </w:tc>
        <w:tc>
          <w:tcPr>
            <w:tcW w:w="6078" w:type="dxa"/>
            <w:tcBorders>
              <w:right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sz w:val="36"/>
                <w:szCs w:val="36"/>
              </w:rPr>
            </w:pPr>
            <w:r>
              <w:rPr>
                <w:rFonts w:cs="Times New Roman" w:ascii="Arial" w:hAnsi="Arial"/>
                <w:b/>
                <w:sz w:val="36"/>
                <w:szCs w:val="36"/>
              </w:rPr>
              <w:t>Medio Oficial Albañil</w:t>
            </w:r>
          </w:p>
        </w:tc>
      </w:tr>
      <w:tr>
        <w:trPr/>
        <w:tc>
          <w:tcPr>
            <w:tcW w:w="3245" w:type="dxa"/>
            <w:tcBorders>
              <w:left w:val="single" w:sz="12" w:space="0" w:color="000000"/>
              <w:bottom w:val="single" w:sz="12" w:space="0" w:color="000000"/>
              <w:insideH w:val="single" w:sz="1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sz w:val="24"/>
                <w:szCs w:val="24"/>
              </w:rPr>
              <w:t>Departamento de Obras</w:t>
            </w:r>
          </w:p>
        </w:tc>
        <w:tc>
          <w:tcPr>
            <w:tcW w:w="6078" w:type="dxa"/>
            <w:tcBorders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0" w:after="0"/>
              <w:jc w:val="center"/>
              <w:rPr/>
            </w:pPr>
            <w:r>
              <w:rPr>
                <w:rFonts w:cs="Times New Roman" w:ascii="Arial" w:hAnsi="Arial"/>
                <w:b/>
                <w:sz w:val="28"/>
                <w:szCs w:val="28"/>
              </w:rPr>
              <w:t>Exp. 2026-</w:t>
            </w:r>
            <w:r>
              <w:rPr>
                <w:rFonts w:cs="Times New Roman" w:ascii="Arial" w:hAnsi="Arial"/>
                <w:b/>
                <w:sz w:val="28"/>
                <w:szCs w:val="28"/>
              </w:rPr>
              <w:t>3355</w:t>
            </w:r>
          </w:p>
        </w:tc>
      </w:tr>
    </w:tbl>
    <w:p>
      <w:pPr>
        <w:pStyle w:val="Standard"/>
        <w:spacing w:before="0" w:after="0"/>
        <w:rPr>
          <w:rFonts w:ascii="Arial" w:hAnsi="Arial" w:cs="Times New Roman"/>
          <w:sz w:val="20"/>
          <w:szCs w:val="20"/>
        </w:rPr>
      </w:pPr>
      <w:r>
        <w:rPr>
          <w:rFonts w:cs="Times New Roman" w:ascii="Arial" w:hAnsi="Arial"/>
          <w:sz w:val="20"/>
          <w:szCs w:val="20"/>
        </w:rPr>
      </w:r>
    </w:p>
    <w:tbl>
      <w:tblPr>
        <w:tblStyle w:val="Tablaconcuadrcula"/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30"/>
        <w:gridCol w:w="6520"/>
      </w:tblGrid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Tipo de Vínculo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Contrato de función pública. Provisorio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Nombre del puesto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sz w:val="24"/>
                <w:szCs w:val="24"/>
              </w:rPr>
              <w:t>Medio Oficial Albañil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Período de postulación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color w:val="EE0000"/>
                <w:sz w:val="24"/>
                <w:szCs w:val="24"/>
              </w:rPr>
            </w:pPr>
            <w:r>
              <w:rPr>
                <w:rFonts w:cs="Times New Roman" w:ascii="Arial" w:hAnsi="Arial"/>
                <w:color w:val="auto"/>
                <w:sz w:val="24"/>
                <w:szCs w:val="24"/>
              </w:rPr>
              <w:t xml:space="preserve">Del   </w:t>
            </w:r>
            <w:r>
              <w:rPr>
                <w:rFonts w:cs="Times New Roman" w:ascii="Arial" w:hAnsi="Arial"/>
                <w:color w:val="auto"/>
                <w:sz w:val="24"/>
                <w:szCs w:val="24"/>
              </w:rPr>
              <w:t>02/03/2026</w:t>
            </w:r>
            <w:r>
              <w:rPr>
                <w:rFonts w:cs="Times New Roman" w:ascii="Arial" w:hAnsi="Arial"/>
                <w:color w:val="auto"/>
                <w:sz w:val="24"/>
                <w:szCs w:val="24"/>
              </w:rPr>
              <w:t xml:space="preserve"> al </w:t>
            </w:r>
            <w:r>
              <w:rPr>
                <w:rFonts w:cs="Times New Roman" w:ascii="Arial" w:hAnsi="Arial"/>
                <w:color w:val="auto"/>
                <w:sz w:val="24"/>
                <w:szCs w:val="24"/>
              </w:rPr>
              <w:t>20/03/2026</w:t>
            </w:r>
            <w:r>
              <w:rPr>
                <w:rFonts w:cs="Times New Roman" w:ascii="Arial" w:hAnsi="Arial"/>
                <w:color w:val="auto"/>
                <w:sz w:val="24"/>
                <w:szCs w:val="24"/>
              </w:rPr>
              <w:t xml:space="preserve">  </w:t>
            </w:r>
            <w:r>
              <w:rPr>
                <w:rFonts w:cs="Times New Roman" w:ascii="Arial" w:hAnsi="Arial"/>
                <w:color w:val="EE0000"/>
                <w:sz w:val="24"/>
                <w:szCs w:val="24"/>
              </w:rPr>
              <w:t xml:space="preserve">  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Tipo de Tarea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Operativas de oficio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Tipo de llamado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Concurso de Oposición, Méritos y Antecedentes.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Lugar de desempeño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Departamento de Obras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Tiempo de contratación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bCs/>
                <w:sz w:val="24"/>
                <w:szCs w:val="24"/>
              </w:rPr>
              <w:t>Máximo 18 meses</w:t>
            </w:r>
            <w:r>
              <w:rPr>
                <w:rFonts w:cs="Times New Roman" w:ascii="Arial" w:hAnsi="Arial"/>
                <w:sz w:val="24"/>
                <w:szCs w:val="24"/>
              </w:rPr>
              <w:t xml:space="preserve"> en régimen de contratos provisorios de 6 meses. Transcurrido dicho plazo y previa evaluación de desempeño, el funcionario podrá ser incorporado en forma definitiva. La Administración podrá rescindir el contrato en caso de evaluación no satisfactoria o razones de mejor servicio.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Cantidad de Puestos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bCs/>
                <w:sz w:val="24"/>
                <w:szCs w:val="24"/>
              </w:rPr>
              <w:t>Hasta 8 (ocho) puestos</w:t>
            </w:r>
            <w:r>
              <w:rPr>
                <w:rFonts w:cs="Times New Roman" w:ascii="Arial" w:hAnsi="Arial"/>
                <w:sz w:val="24"/>
                <w:szCs w:val="24"/>
              </w:rPr>
              <w:t>.</w:t>
            </w:r>
          </w:p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Dicho cupo no implica la obligación de contratación por parte de la Intendencia de Salto.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 xml:space="preserve">Otras condiciones 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bCs/>
                <w:sz w:val="24"/>
                <w:szCs w:val="24"/>
              </w:rPr>
              <w:t>VER BASES GENERALES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Escalafón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Obrero y Oficios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Grado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03 (tres)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  <w:bCs/>
              </w:rPr>
            </w:pPr>
            <w:r>
              <w:rPr>
                <w:rFonts w:cs="Times New Roman" w:ascii="Arial" w:hAnsi="Arial"/>
                <w:b/>
                <w:bCs/>
              </w:rPr>
              <w:t>Remuneración vigente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color w:val="auto"/>
                <w:sz w:val="24"/>
                <w:szCs w:val="24"/>
              </w:rPr>
              <w:t>$ 42.723,51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Carga horaria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40 horas semanales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uppressAutoHyphens w:val="false"/>
              <w:spacing w:before="120" w:after="120"/>
              <w:jc w:val="both"/>
              <w:rPr>
                <w:rFonts w:ascii="Arial" w:hAnsi="Arial" w:cs="Times New Roman"/>
                <w:b/>
                <w:b/>
                <w:color w:val="00000A"/>
                <w:lang w:eastAsia="es-ES"/>
              </w:rPr>
            </w:pPr>
            <w:r>
              <w:rPr>
                <w:rFonts w:cs="Times New Roman" w:ascii="Arial" w:hAnsi="Arial"/>
                <w:b/>
                <w:color w:val="00000A"/>
                <w:lang w:eastAsia="es-ES"/>
              </w:rPr>
              <w:t>Horario de trabajo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El horario será determinado por la repartición correspondiente de la Intendencia de Salto.</w:t>
            </w:r>
          </w:p>
        </w:tc>
      </w:tr>
    </w:tbl>
    <w:p>
      <w:pPr>
        <w:pStyle w:val="Standard"/>
        <w:suppressAutoHyphens w:val="false"/>
        <w:spacing w:before="240" w:after="120"/>
        <w:jc w:val="both"/>
        <w:rPr/>
      </w:pPr>
      <w:r>
        <w:rPr>
          <w:rFonts w:cs="Times New Roman" w:ascii="Arial" w:hAnsi="Arial"/>
          <w:b/>
          <w:color w:val="00000A"/>
          <w:sz w:val="24"/>
          <w:szCs w:val="24"/>
          <w:lang w:eastAsia="es-ES"/>
        </w:rPr>
        <w:t>NOTA: Quienes ingresen deberán permanecer en el sector por un período mínimo de 5 años. La Administración se reserva el derecho de determinar turnos y horarios para la prestación de servicio, condición que el postulante tomará especialmente a cargo al momento de la inscripción y cuyo desconocimiento durante la relación de trabajo será causal de cese.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567" w:top="2126" w:footer="181" w:bottom="1418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inline distT="0" distB="5080" distL="0" distR="0">
          <wp:extent cx="5400040" cy="490220"/>
          <wp:effectExtent l="0" t="0" r="0" b="0"/>
          <wp:docPr id="2" name="Imagen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0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center"/>
      <w:rPr/>
    </w:pPr>
    <w:r>
      <w:rPr/>
      <w:drawing>
        <wp:inline distT="0" distB="1905" distL="0" distR="6350">
          <wp:extent cx="2432050" cy="798195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32050" cy="798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es-UY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Calibri" w:hAnsi="Calibri" w:eastAsia="Calibri" w:cs="DejaVu Sans"/>
      <w:color w:val="auto"/>
      <w:kern w:val="0"/>
      <w:sz w:val="22"/>
      <w:szCs w:val="22"/>
      <w:lang w:val="es-UY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character" w:styleId="WW8Num3z0" w:customStyle="1">
    <w:name w:val="WW8Num3z0"/>
    <w:qFormat/>
    <w:rPr>
      <w:rFonts w:ascii="Symbol" w:hAnsi="Symbol" w:eastAsia="Symbol" w:cs="Symbol"/>
    </w:rPr>
  </w:style>
  <w:style w:type="character" w:styleId="WW8Num1z0" w:customStyle="1">
    <w:name w:val="WW8Num1z0"/>
    <w:qFormat/>
    <w:rPr>
      <w:rFonts w:ascii="Symbol" w:hAnsi="Symbol" w:eastAsia="Symbol" w:cs="Symbol"/>
    </w:rPr>
  </w:style>
  <w:style w:type="character" w:styleId="WW8Num2z0" w:customStyle="1">
    <w:name w:val="WW8Num2z0"/>
    <w:qFormat/>
    <w:rPr>
      <w:rFonts w:ascii="Symbol" w:hAnsi="Symbol" w:eastAsia="Symbol" w:cs="Symbol"/>
      <w:sz w:val="28"/>
      <w:szCs w:val="28"/>
    </w:rPr>
  </w:style>
  <w:style w:type="character" w:styleId="ListLabel1" w:customStyle="1">
    <w:name w:val="ListLabel 1"/>
    <w:qFormat/>
    <w:rPr>
      <w:rFonts w:ascii="Arial" w:hAnsi="Arial" w:eastAsia="Arial" w:cs="Symbol"/>
      <w:sz w:val="24"/>
    </w:rPr>
  </w:style>
  <w:style w:type="character" w:styleId="ListLabel2" w:customStyle="1">
    <w:name w:val="ListLabel 2"/>
    <w:qFormat/>
    <w:rPr>
      <w:rFonts w:cs="Symbol"/>
    </w:rPr>
  </w:style>
  <w:style w:type="character" w:styleId="ListLabel3" w:customStyle="1">
    <w:name w:val="ListLabel 3"/>
    <w:qFormat/>
    <w:rPr>
      <w:rFonts w:cs="Symbol"/>
    </w:rPr>
  </w:style>
  <w:style w:type="character" w:styleId="ListLabel4" w:customStyle="1">
    <w:name w:val="ListLabel 4"/>
    <w:qFormat/>
    <w:rPr>
      <w:rFonts w:cs="Symbol"/>
    </w:rPr>
  </w:style>
  <w:style w:type="character" w:styleId="ListLabel5" w:customStyle="1">
    <w:name w:val="ListLabel 5"/>
    <w:qFormat/>
    <w:rPr>
      <w:rFonts w:cs="Symbol"/>
    </w:rPr>
  </w:style>
  <w:style w:type="character" w:styleId="ListLabel6" w:customStyle="1">
    <w:name w:val="ListLabel 6"/>
    <w:qFormat/>
    <w:rPr>
      <w:rFonts w:cs="Symbol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Symbol"/>
    </w:rPr>
  </w:style>
  <w:style w:type="character" w:styleId="ListLabel10" w:customStyle="1">
    <w:name w:val="ListLabel 10"/>
    <w:qFormat/>
    <w:rPr>
      <w:rFonts w:ascii="Arial" w:hAnsi="Arial" w:eastAsia="Arial" w:cs="Symbol"/>
      <w:sz w:val="24"/>
    </w:rPr>
  </w:style>
  <w:style w:type="character" w:styleId="ListLabel11" w:customStyle="1">
    <w:name w:val="ListLabel 11"/>
    <w:qFormat/>
    <w:rPr>
      <w:rFonts w:ascii="Arial" w:hAnsi="Arial" w:eastAsia="Arial" w:cs="Symbol"/>
      <w:sz w:val="24"/>
      <w:szCs w:val="28"/>
    </w:rPr>
  </w:style>
  <w:style w:type="character" w:styleId="ListLabel17" w:customStyle="1">
    <w:name w:val="ListLabel 17"/>
    <w:qFormat/>
    <w:rPr>
      <w:rFonts w:ascii="Arial" w:hAnsi="Arial" w:eastAsia="Arial" w:cs="Times New Roman"/>
      <w:b/>
      <w:sz w:val="24"/>
      <w:szCs w:val="24"/>
    </w:rPr>
  </w:style>
  <w:style w:type="character" w:styleId="ListLabel18" w:customStyle="1">
    <w:name w:val="ListLabel 18"/>
    <w:qFormat/>
    <w:rPr>
      <w:rFonts w:cs="Times New Roman"/>
      <w:b/>
      <w:sz w:val="24"/>
      <w:szCs w:val="24"/>
    </w:rPr>
  </w:style>
  <w:style w:type="character" w:styleId="ListLabel19" w:customStyle="1">
    <w:name w:val="ListLabel 19"/>
    <w:qFormat/>
    <w:rPr>
      <w:rFonts w:cs="Times New Roman"/>
      <w:b/>
      <w:sz w:val="24"/>
      <w:szCs w:val="24"/>
    </w:rPr>
  </w:style>
  <w:style w:type="character" w:styleId="ListLabel20">
    <w:name w:val="ListLabel 20"/>
    <w:qFormat/>
    <w:rPr>
      <w:rFonts w:cs="Times New Roman"/>
      <w:b/>
      <w:sz w:val="24"/>
      <w:szCs w:val="24"/>
    </w:rPr>
  </w:style>
  <w:style w:type="character" w:styleId="ListLabel21">
    <w:name w:val="ListLabel 21"/>
    <w:qFormat/>
    <w:rPr>
      <w:rFonts w:cs="Times New Roman"/>
      <w:b/>
      <w:sz w:val="24"/>
      <w:szCs w:val="24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FreeSans"/>
    </w:rPr>
  </w:style>
  <w:style w:type="paragraph" w:styleId="Standard" w:customStyle="1">
    <w:name w:val="Standard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es-UY" w:eastAsia="en-US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becera">
    <w:name w:val="Header"/>
    <w:basedOn w:val="Standar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Standar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Standard"/>
    <w:qFormat/>
    <w:pPr>
      <w:spacing w:before="0" w:after="200"/>
      <w:ind w:left="720" w:hanging="0"/>
    </w:pPr>
    <w:rPr/>
  </w:style>
  <w:style w:type="paragraph" w:styleId="Contenidodelatabla" w:customStyle="1">
    <w:name w:val="Contenido de la tabla"/>
    <w:basedOn w:val="Standard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Sinlista1" w:customStyle="1">
    <w:name w:val="Sin lista1"/>
    <w:qFormat/>
  </w:style>
  <w:style w:type="numbering" w:styleId="WW8Num3" w:customStyle="1">
    <w:name w:val="WW8Num3"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1826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LibreOffice/6.1.5.2$Linux_X86_64 LibreOffice_project/10$Build-2</Application>
  <Pages>1</Pages>
  <Words>224</Words>
  <Characters>1267</Characters>
  <CharactersWithSpaces>1462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2026-02-17T21:20:00Z</dcterms:created>
  <dc:creator>Serena</dc:creator>
  <dc:description/>
  <dc:language>es-UY</dc:language>
  <cp:lastModifiedBy/>
  <cp:lastPrinted>2026-01-26T10:01:00Z</cp:lastPrinted>
  <dcterms:modified xsi:type="dcterms:W3CDTF">2026-02-20T14:24:24Z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