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2</w:t>
            </w:r>
          </w:p>
        </w:tc>
        <w:tc>
          <w:tcPr>
            <w:tcW w:w="6078" w:type="dxa"/>
            <w:tcBorders>
              <w:top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Oficial Albañil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</w:t>
            </w:r>
            <w:r>
              <w:rPr>
                <w:rFonts w:cs="Times New Roman" w:ascii="Arial" w:hAnsi="Arial"/>
                <w:b/>
                <w:sz w:val="28"/>
                <w:szCs w:val="28"/>
              </w:rPr>
              <w:t>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8"/>
                <w:szCs w:val="28"/>
              </w:rPr>
              <w:t>Oficial Albañil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Del 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02/03/2026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 al 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20/03/2026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  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5 (cinco)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 xml:space="preserve">Otras condiciones 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Obrero y Oficios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508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1905" distL="0" distR="635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FreeSans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LibreOffice/6.1.5.2$Linux_X86_64 LibreOffice_project/10$Build-2</Application>
  <Pages>1</Pages>
  <Words>222</Words>
  <Characters>1258</Characters>
  <CharactersWithSpaces>1449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2026-02-17T21:24:00Z</dcterms:created>
  <dc:creator>Serena</dc:creator>
  <dc:description/>
  <dc:language>es-UY</dc:language>
  <cp:lastModifiedBy/>
  <cp:lastPrinted>2026-01-26T10:01:00Z</cp:lastPrinted>
  <dcterms:modified xsi:type="dcterms:W3CDTF">2026-02-20T14:26:19Z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